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44E1FAD" w:rsidR="00C7794D" w:rsidRDefault="00B7116C" w:rsidP="00CF1176">
      <w:pPr>
        <w:tabs>
          <w:tab w:val="left" w:pos="6300"/>
        </w:tabs>
        <w:jc w:val="center"/>
        <w:rPr>
          <w:rFonts w:ascii="Arial" w:hAnsi="Arial" w:cs="Arial"/>
          <w:b/>
          <w:sz w:val="28"/>
          <w:szCs w:val="18"/>
        </w:rPr>
      </w:pPr>
      <w:r>
        <w:rPr>
          <w:rFonts w:ascii="Arial" w:hAnsi="Arial" w:cs="Arial"/>
          <w:b/>
          <w:sz w:val="28"/>
          <w:szCs w:val="18"/>
        </w:rPr>
        <w:t>VPLS</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r>
            <w:rPr>
              <w:rStyle w:val="Style1"/>
              <w:caps/>
              <w:sz w:val="20"/>
            </w:rPr>
            <w:t>enter cUSTOMER name here</w:t>
          </w:r>
        </w:sdtContent>
      </w:sdt>
    </w:p>
    <w:p w14:paraId="7424D8F7" w14:textId="77777777" w:rsidR="002977AC" w:rsidRDefault="002977AC" w:rsidP="002977AC">
      <w:pPr>
        <w:jc w:val="both"/>
        <w:rPr>
          <w:rFonts w:ascii="Arial" w:hAnsi="Arial" w:cs="Arial"/>
          <w:b/>
          <w:caps/>
          <w:sz w:val="20"/>
        </w:rPr>
      </w:pPr>
    </w:p>
    <w:p w14:paraId="44A47C75" w14:textId="341A51BA"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3" w:name="_Hlk493146400"/>
      <w:r w:rsidR="007E2AC7">
        <w:rPr>
          <w:rFonts w:ascii="Arial" w:hAnsi="Arial" w:cs="Arial"/>
          <w:sz w:val="19"/>
          <w:szCs w:val="19"/>
        </w:rPr>
        <w:t>Virtual Private Local Area Network Service (</w:t>
      </w:r>
      <w:r w:rsidR="00401FB0">
        <w:rPr>
          <w:rFonts w:ascii="Arial" w:hAnsi="Arial" w:cs="Arial"/>
          <w:sz w:val="19"/>
          <w:szCs w:val="19"/>
        </w:rPr>
        <w:t>VPLS</w:t>
      </w:r>
      <w:r w:rsidR="007E2AC7">
        <w:rPr>
          <w:rFonts w:ascii="Arial" w:hAnsi="Arial" w:cs="Arial"/>
          <w:sz w:val="19"/>
          <w:szCs w:val="19"/>
        </w:rPr>
        <w:t>)</w:t>
      </w:r>
      <w:r w:rsidR="00401FB0">
        <w:rPr>
          <w:rFonts w:ascii="Arial" w:hAnsi="Arial" w:cs="Arial"/>
          <w:sz w:val="19"/>
          <w:szCs w:val="19"/>
        </w:rPr>
        <w:t xml:space="preserve"> </w:t>
      </w:r>
      <w:r w:rsidRPr="002A21C7">
        <w:rPr>
          <w:rFonts w:ascii="Arial" w:hAnsi="Arial" w:cs="Arial"/>
          <w:sz w:val="19"/>
          <w:szCs w:val="19"/>
        </w:rPr>
        <w:t xml:space="preserve"> Schedule </w:t>
      </w:r>
      <w:bookmarkEnd w:id="3"/>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BBF5822"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4"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nitions shall apply to Ethernet</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43B9E10B"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77777777" w:rsidR="00826586" w:rsidRPr="00001F62"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782ADF2B" w14:textId="725A6367" w:rsidR="00851F11" w:rsidRPr="00D57DDD" w:rsidRDefault="00851F11" w:rsidP="00CF1176">
      <w:pPr>
        <w:pStyle w:val="BodyTextIndent2"/>
        <w:numPr>
          <w:ilvl w:val="1"/>
          <w:numId w:val="3"/>
        </w:numPr>
        <w:tabs>
          <w:tab w:val="left" w:pos="6300"/>
        </w:tabs>
        <w:ind w:left="990" w:hanging="450"/>
        <w:rPr>
          <w:rFonts w:ascii="Arial" w:hAnsi="Arial" w:cs="Arial"/>
          <w:sz w:val="18"/>
          <w:szCs w:val="18"/>
        </w:rPr>
      </w:pPr>
      <w:r>
        <w:rPr>
          <w:rFonts w:ascii="Arial" w:hAnsi="Arial" w:cs="Arial"/>
          <w:sz w:val="18"/>
          <w:szCs w:val="18"/>
        </w:rPr>
        <w:t>Ethernet means the communications technology as defined by the IEEE 802.3 standard.</w:t>
      </w:r>
    </w:p>
    <w:p w14:paraId="1BC116CD" w14:textId="5FA6F4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7E2AC7">
        <w:rPr>
          <w:rFonts w:ascii="Arial" w:hAnsi="Arial" w:cs="Arial"/>
          <w:sz w:val="18"/>
          <w:szCs w:val="18"/>
        </w:rPr>
        <w:t xml:space="preserve">VPLS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4BF802F1"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7E2AC7">
        <w:rPr>
          <w:rFonts w:ascii="Arial" w:hAnsi="Arial" w:cs="Arial"/>
          <w:sz w:val="18"/>
          <w:szCs w:val="18"/>
        </w:rPr>
        <w:t xml:space="preserve">VPLS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EE28E10"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0EEB26E8"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p w14:paraId="49F4DACE" w14:textId="77777777" w:rsidR="00971463" w:rsidRPr="00001F62"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lastRenderedPageBreak/>
        <w:t>VLAN</w:t>
      </w:r>
      <w:r w:rsidRPr="00001F62">
        <w:rPr>
          <w:rFonts w:ascii="Arial" w:hAnsi="Arial" w:cs="Arial"/>
          <w:sz w:val="18"/>
          <w:szCs w:val="18"/>
        </w:rPr>
        <w:t xml:space="preserve"> </w:t>
      </w:r>
      <w:r w:rsidR="000765AD">
        <w:rPr>
          <w:rFonts w:ascii="Arial" w:hAnsi="Arial" w:cs="Arial"/>
          <w:sz w:val="18"/>
          <w:szCs w:val="18"/>
        </w:rPr>
        <w:t xml:space="preserve">means </w:t>
      </w:r>
      <w:r w:rsidRPr="00001F62">
        <w:rPr>
          <w:rFonts w:ascii="Arial" w:hAnsi="Arial" w:cs="Arial"/>
          <w:sz w:val="18"/>
          <w:szCs w:val="18"/>
        </w:rPr>
        <w:t>Virtual Local Area Network, a network configuration that allows a group of hosts to communicate as if they were attached to the same wire, regardless of their physical location configured using the IEEE 802.1Q standard.</w:t>
      </w:r>
    </w:p>
    <w:bookmarkEnd w:id="4"/>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08ED91D4" w:rsidR="00826586" w:rsidRDefault="00DF58E0"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VPLS</w:t>
      </w:r>
      <w:r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 xml:space="preserve">ervices provide connectivity </w:t>
      </w:r>
      <w:r w:rsidR="0005312C" w:rsidRPr="00001F62">
        <w:rPr>
          <w:rFonts w:ascii="Arial" w:hAnsi="Arial" w:cs="Arial"/>
          <w:sz w:val="18"/>
          <w:szCs w:val="18"/>
        </w:rPr>
        <w:t>for transport</w:t>
      </w:r>
      <w:r w:rsidR="00D510C9" w:rsidRPr="00001F62">
        <w:rPr>
          <w:rFonts w:ascii="Arial" w:hAnsi="Arial" w:cs="Arial"/>
          <w:sz w:val="18"/>
          <w:szCs w:val="18"/>
        </w:rPr>
        <w:t xml:space="preserve"> of voice, data, video or other forms of communication</w:t>
      </w:r>
      <w:r w:rsidR="00B7617C" w:rsidRPr="00001F62">
        <w:rPr>
          <w:rFonts w:ascii="Arial" w:hAnsi="Arial" w:cs="Arial"/>
          <w:sz w:val="18"/>
          <w:szCs w:val="18"/>
        </w:rPr>
        <w:t>s</w:t>
      </w:r>
      <w:r w:rsidR="00D510C9" w:rsidRPr="00001F62">
        <w:rPr>
          <w:rFonts w:ascii="Arial" w:hAnsi="Arial" w:cs="Arial"/>
          <w:sz w:val="18"/>
          <w:szCs w:val="18"/>
        </w:rPr>
        <w:t xml:space="preserve"> traffic</w:t>
      </w:r>
      <w:r>
        <w:rPr>
          <w:rFonts w:ascii="Arial" w:hAnsi="Arial" w:cs="Arial"/>
          <w:sz w:val="18"/>
          <w:szCs w:val="18"/>
        </w:rPr>
        <w:t xml:space="preserve"> across a layer-2 Ethernet network</w:t>
      </w:r>
      <w:r w:rsidR="00D510C9" w:rsidRPr="00001F62">
        <w:rPr>
          <w:rFonts w:ascii="Arial" w:hAnsi="Arial" w:cs="Arial"/>
          <w:sz w:val="18"/>
          <w:szCs w:val="18"/>
        </w:rPr>
        <w:t xml:space="preserve">. </w:t>
      </w:r>
      <w:r>
        <w:rPr>
          <w:rFonts w:ascii="Arial" w:hAnsi="Arial" w:cs="Arial"/>
          <w:sz w:val="18"/>
          <w:szCs w:val="18"/>
        </w:rPr>
        <w:t xml:space="preserve">VPLS </w:t>
      </w:r>
      <w:r w:rsidR="00982F4A">
        <w:rPr>
          <w:rFonts w:ascii="Arial" w:hAnsi="Arial" w:cs="Arial"/>
          <w:sz w:val="18"/>
          <w:szCs w:val="18"/>
        </w:rPr>
        <w:t>S</w:t>
      </w:r>
      <w:r w:rsidR="00826586" w:rsidRPr="00001F62">
        <w:rPr>
          <w:rFonts w:ascii="Arial" w:hAnsi="Arial" w:cs="Arial"/>
          <w:sz w:val="18"/>
          <w:szCs w:val="18"/>
        </w:rPr>
        <w:t>ervice supports transmission speeds from 1</w:t>
      </w:r>
      <w:r>
        <w:rPr>
          <w:rFonts w:ascii="Arial" w:hAnsi="Arial" w:cs="Arial"/>
          <w:sz w:val="18"/>
          <w:szCs w:val="18"/>
        </w:rPr>
        <w:t>.5</w:t>
      </w:r>
      <w:r w:rsidR="00826586" w:rsidRPr="00001F62">
        <w:rPr>
          <w:rFonts w:ascii="Arial" w:hAnsi="Arial" w:cs="Arial"/>
          <w:sz w:val="18"/>
          <w:szCs w:val="18"/>
        </w:rPr>
        <w:t>Mbps up to 1</w:t>
      </w:r>
      <w:r w:rsidR="00791F6A">
        <w:rPr>
          <w:rFonts w:ascii="Arial" w:hAnsi="Arial" w:cs="Arial"/>
          <w:sz w:val="18"/>
          <w:szCs w:val="18"/>
        </w:rPr>
        <w:t>0</w:t>
      </w:r>
      <w:r w:rsidR="00826586" w:rsidRPr="00001F62">
        <w:rPr>
          <w:rFonts w:ascii="Arial" w:hAnsi="Arial" w:cs="Arial"/>
          <w:sz w:val="18"/>
          <w:szCs w:val="18"/>
        </w:rPr>
        <w:t xml:space="preserve">Gbps. </w:t>
      </w:r>
      <w:r>
        <w:rPr>
          <w:rFonts w:ascii="Arial" w:hAnsi="Arial" w:cs="Arial"/>
          <w:sz w:val="18"/>
          <w:szCs w:val="18"/>
        </w:rPr>
        <w:t xml:space="preserve">VPLS </w:t>
      </w:r>
      <w:r w:rsidR="00826586" w:rsidRPr="00001F62">
        <w:rPr>
          <w:rFonts w:ascii="Arial" w:hAnsi="Arial" w:cs="Arial"/>
          <w:sz w:val="18"/>
          <w:szCs w:val="18"/>
        </w:rPr>
        <w:t xml:space="preserve">Service terminates at the NNI or UNI </w:t>
      </w:r>
      <w:r w:rsidR="00B7617C" w:rsidRPr="00001F62">
        <w:rPr>
          <w:rFonts w:ascii="Arial" w:hAnsi="Arial" w:cs="Arial"/>
          <w:sz w:val="18"/>
          <w:szCs w:val="18"/>
        </w:rPr>
        <w:t>port(s) typically located in a C</w:t>
      </w:r>
      <w:r w:rsidR="00826586" w:rsidRPr="00001F62">
        <w:rPr>
          <w:rFonts w:ascii="Arial" w:hAnsi="Arial" w:cs="Arial"/>
          <w:sz w:val="18"/>
          <w:szCs w:val="18"/>
        </w:rPr>
        <w:t>ustomer’s common telecommunications facility or meet-me point</w:t>
      </w:r>
      <w:r w:rsidR="00CE3107">
        <w:rPr>
          <w:rFonts w:ascii="Arial" w:hAnsi="Arial" w:cs="Arial"/>
          <w:sz w:val="18"/>
          <w:szCs w:val="18"/>
        </w:rPr>
        <w:t>.VPLS meets the</w:t>
      </w:r>
      <w:r w:rsidR="00826586" w:rsidRPr="00001F62">
        <w:rPr>
          <w:rFonts w:ascii="Arial" w:hAnsi="Arial" w:cs="Arial"/>
          <w:sz w:val="18"/>
          <w:szCs w:val="18"/>
        </w:rPr>
        <w:t xml:space="preserve"> IEEE 802.3 </w:t>
      </w:r>
      <w:r w:rsidR="00CE3107">
        <w:rPr>
          <w:rFonts w:ascii="Arial" w:hAnsi="Arial" w:cs="Arial"/>
          <w:sz w:val="18"/>
          <w:szCs w:val="18"/>
        </w:rPr>
        <w:t xml:space="preserve">Ethernet </w:t>
      </w:r>
      <w:r w:rsidR="00826586" w:rsidRPr="00001F62">
        <w:rPr>
          <w:rFonts w:ascii="Arial" w:hAnsi="Arial" w:cs="Arial"/>
          <w:sz w:val="18"/>
          <w:szCs w:val="18"/>
        </w:rPr>
        <w:t>standards and use 802.1Q VLAN tagging and stacking to support certain configurations. In general, the</w:t>
      </w:r>
      <w:r w:rsidR="0005312C" w:rsidRPr="00001F62">
        <w:rPr>
          <w:rFonts w:ascii="Arial" w:hAnsi="Arial" w:cs="Arial"/>
          <w:sz w:val="18"/>
          <w:szCs w:val="18"/>
        </w:rPr>
        <w:t xml:space="preserve"> s</w:t>
      </w:r>
      <w:r w:rsidR="00826586" w:rsidRPr="00001F62">
        <w:rPr>
          <w:rFonts w:ascii="Arial" w:hAnsi="Arial" w:cs="Arial"/>
          <w:sz w:val="18"/>
          <w:szCs w:val="18"/>
        </w:rPr>
        <w:t>ervice is based on terminology</w:t>
      </w:r>
      <w:r w:rsidR="00CE3107">
        <w:rPr>
          <w:rFonts w:ascii="Arial" w:hAnsi="Arial" w:cs="Arial"/>
          <w:sz w:val="18"/>
          <w:szCs w:val="18"/>
        </w:rPr>
        <w:t xml:space="preserve">, </w:t>
      </w:r>
      <w:r w:rsidR="00826586" w:rsidRPr="00001F62">
        <w:rPr>
          <w:rFonts w:ascii="Arial" w:hAnsi="Arial" w:cs="Arial"/>
          <w:sz w:val="18"/>
          <w:szCs w:val="18"/>
        </w:rPr>
        <w:t xml:space="preserve"> attributes</w:t>
      </w:r>
      <w:r w:rsidR="00CE3107">
        <w:rPr>
          <w:rFonts w:ascii="Arial" w:hAnsi="Arial" w:cs="Arial"/>
          <w:sz w:val="18"/>
          <w:szCs w:val="18"/>
        </w:rPr>
        <w:t xml:space="preserve"> and services</w:t>
      </w:r>
      <w:r w:rsidR="00826586" w:rsidRPr="00001F62">
        <w:rPr>
          <w:rFonts w:ascii="Arial" w:hAnsi="Arial" w:cs="Arial"/>
          <w:sz w:val="18"/>
          <w:szCs w:val="18"/>
        </w:rPr>
        <w:t xml:space="preserve"> defined and used</w:t>
      </w:r>
      <w:r w:rsidR="0005312C" w:rsidRPr="00001F62">
        <w:rPr>
          <w:rFonts w:ascii="Arial" w:hAnsi="Arial" w:cs="Arial"/>
          <w:sz w:val="18"/>
          <w:szCs w:val="18"/>
        </w:rPr>
        <w:t xml:space="preserve"> by the </w:t>
      </w:r>
      <w:r w:rsidR="00826586" w:rsidRPr="00001F62">
        <w:rPr>
          <w:rFonts w:ascii="Arial" w:hAnsi="Arial" w:cs="Arial"/>
          <w:sz w:val="18"/>
          <w:szCs w:val="18"/>
        </w:rPr>
        <w:t>Metro Ethernet Forum</w:t>
      </w:r>
      <w:r w:rsidR="0005312C" w:rsidRPr="00001F62">
        <w:rPr>
          <w:rFonts w:ascii="Arial" w:hAnsi="Arial" w:cs="Arial"/>
          <w:sz w:val="18"/>
          <w:szCs w:val="18"/>
        </w:rPr>
        <w:t xml:space="preserve"> (MEF</w:t>
      </w:r>
      <w:r w:rsidR="00826586" w:rsidRPr="00001F62">
        <w:rPr>
          <w:rFonts w:ascii="Arial" w:hAnsi="Arial" w:cs="Arial"/>
          <w:sz w:val="18"/>
          <w:szCs w:val="18"/>
        </w:rPr>
        <w:t>).</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5ED2502A" w:rsidR="001874D9" w:rsidRPr="00001F62" w:rsidRDefault="001874D9"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sidRPr="00001F62">
        <w:rPr>
          <w:rFonts w:ascii="Arial" w:hAnsi="Arial" w:cs="Arial"/>
          <w:b/>
          <w:sz w:val="18"/>
          <w:szCs w:val="18"/>
        </w:rPr>
        <w:t>E-LINE</w:t>
      </w:r>
      <w:r w:rsidRPr="00001F62">
        <w:rPr>
          <w:rFonts w:ascii="Arial" w:hAnsi="Arial" w:cs="Arial"/>
          <w:sz w:val="18"/>
          <w:szCs w:val="18"/>
        </w:rPr>
        <w:t xml:space="preserve">:  </w:t>
      </w:r>
      <w:r w:rsidR="00AD3EE5">
        <w:rPr>
          <w:rFonts w:ascii="Arial" w:hAnsi="Arial" w:cs="Arial"/>
          <w:sz w:val="18"/>
          <w:szCs w:val="18"/>
        </w:rPr>
        <w:t>an Ethernet private line (“</w:t>
      </w:r>
      <w:r w:rsidR="00AD3EE5" w:rsidRPr="00AD3EE5">
        <w:rPr>
          <w:rFonts w:ascii="Arial" w:hAnsi="Arial" w:cs="Arial"/>
          <w:b/>
          <w:sz w:val="18"/>
          <w:szCs w:val="18"/>
        </w:rPr>
        <w:t>EPL</w:t>
      </w:r>
      <w:r w:rsidR="00AD3EE5">
        <w:rPr>
          <w:rFonts w:ascii="Arial" w:hAnsi="Arial" w:cs="Arial"/>
          <w:sz w:val="18"/>
          <w:szCs w:val="18"/>
        </w:rPr>
        <w:t>”)</w:t>
      </w:r>
      <w:r w:rsidR="00A00D0B" w:rsidRPr="00001F62">
        <w:rPr>
          <w:rFonts w:ascii="Arial" w:hAnsi="Arial" w:cs="Arial"/>
          <w:sz w:val="18"/>
          <w:szCs w:val="18"/>
        </w:rPr>
        <w:t xml:space="preserve"> </w:t>
      </w:r>
      <w:r w:rsidR="00D433C6">
        <w:rPr>
          <w:rFonts w:ascii="Arial" w:hAnsi="Arial" w:cs="Arial"/>
          <w:sz w:val="18"/>
          <w:szCs w:val="18"/>
        </w:rPr>
        <w:t>M</w:t>
      </w:r>
      <w:r w:rsidR="00EC6DFF">
        <w:rPr>
          <w:rFonts w:ascii="Arial" w:hAnsi="Arial" w:cs="Arial"/>
          <w:sz w:val="18"/>
          <w:szCs w:val="18"/>
        </w:rPr>
        <w:t xml:space="preserve">etro or </w:t>
      </w:r>
      <w:r w:rsidR="00D433C6">
        <w:rPr>
          <w:rFonts w:ascii="Arial" w:hAnsi="Arial" w:cs="Arial"/>
          <w:sz w:val="18"/>
          <w:szCs w:val="18"/>
        </w:rPr>
        <w:t>I</w:t>
      </w:r>
      <w:r w:rsidR="00EC6DFF">
        <w:rPr>
          <w:rFonts w:ascii="Arial" w:hAnsi="Arial" w:cs="Arial"/>
          <w:sz w:val="18"/>
          <w:szCs w:val="18"/>
        </w:rPr>
        <w:t xml:space="preserve">ntercity </w:t>
      </w:r>
      <w:r w:rsidR="00A00D0B" w:rsidRPr="00001F62">
        <w:rPr>
          <w:rFonts w:ascii="Arial" w:hAnsi="Arial" w:cs="Arial"/>
          <w:sz w:val="18"/>
          <w:szCs w:val="18"/>
        </w:rPr>
        <w:t>service comprised of a UNI at each Customer site connected via an E</w:t>
      </w:r>
      <w:r w:rsidR="00AD3EE5">
        <w:rPr>
          <w:rFonts w:ascii="Arial" w:hAnsi="Arial" w:cs="Arial"/>
          <w:sz w:val="18"/>
          <w:szCs w:val="18"/>
        </w:rPr>
        <w:t>thernet virtual circuit (“</w:t>
      </w:r>
      <w:r w:rsidR="00AD3EE5" w:rsidRPr="00AD3EE5">
        <w:rPr>
          <w:rFonts w:ascii="Arial" w:hAnsi="Arial" w:cs="Arial"/>
          <w:b/>
          <w:sz w:val="18"/>
          <w:szCs w:val="18"/>
        </w:rPr>
        <w:t>EVC</w:t>
      </w:r>
      <w:r w:rsidR="00AD3EE5">
        <w:rPr>
          <w:rFonts w:ascii="Arial" w:hAnsi="Arial" w:cs="Arial"/>
          <w:sz w:val="18"/>
          <w:szCs w:val="18"/>
        </w:rPr>
        <w:t>”)</w:t>
      </w:r>
      <w:r w:rsidR="00A00D0B" w:rsidRPr="00001F62">
        <w:rPr>
          <w:rFonts w:ascii="Arial" w:hAnsi="Arial" w:cs="Arial"/>
          <w:sz w:val="18"/>
          <w:szCs w:val="18"/>
        </w:rPr>
        <w:t xml:space="preserve"> providing</w:t>
      </w:r>
      <w:r w:rsidRPr="00001F62">
        <w:rPr>
          <w:rFonts w:ascii="Arial" w:hAnsi="Arial" w:cs="Arial"/>
          <w:sz w:val="18"/>
          <w:szCs w:val="18"/>
        </w:rPr>
        <w:t xml:space="preserve"> point-to-point Ethernet transport </w:t>
      </w:r>
      <w:r w:rsidR="00B7268A" w:rsidRPr="00001F62">
        <w:rPr>
          <w:rFonts w:ascii="Arial" w:hAnsi="Arial" w:cs="Arial"/>
          <w:sz w:val="18"/>
          <w:szCs w:val="18"/>
        </w:rPr>
        <w:t>services or an E</w:t>
      </w:r>
      <w:r w:rsidR="00936A33">
        <w:rPr>
          <w:rFonts w:ascii="Arial" w:hAnsi="Arial" w:cs="Arial"/>
          <w:sz w:val="18"/>
          <w:szCs w:val="18"/>
        </w:rPr>
        <w:t xml:space="preserve">thernet </w:t>
      </w:r>
      <w:r w:rsidR="00A30138">
        <w:rPr>
          <w:rFonts w:ascii="Arial" w:hAnsi="Arial" w:cs="Arial"/>
          <w:sz w:val="18"/>
          <w:szCs w:val="18"/>
        </w:rPr>
        <w:t>virtual private line (“</w:t>
      </w:r>
      <w:r w:rsidR="00A30138" w:rsidRPr="00A30138">
        <w:rPr>
          <w:rFonts w:ascii="Arial" w:hAnsi="Arial" w:cs="Arial"/>
          <w:b/>
          <w:sz w:val="18"/>
          <w:szCs w:val="18"/>
        </w:rPr>
        <w:t>E</w:t>
      </w:r>
      <w:r w:rsidR="00B7268A" w:rsidRPr="00A30138">
        <w:rPr>
          <w:rFonts w:ascii="Arial" w:hAnsi="Arial" w:cs="Arial"/>
          <w:b/>
          <w:sz w:val="18"/>
          <w:szCs w:val="18"/>
        </w:rPr>
        <w:t>VPL</w:t>
      </w:r>
      <w:r w:rsidR="00A30138">
        <w:rPr>
          <w:rFonts w:ascii="Arial" w:hAnsi="Arial" w:cs="Arial"/>
          <w:sz w:val="18"/>
          <w:szCs w:val="18"/>
        </w:rPr>
        <w:t>”)</w:t>
      </w:r>
      <w:r w:rsidR="00B7268A" w:rsidRPr="00001F62">
        <w:rPr>
          <w:rFonts w:ascii="Arial" w:hAnsi="Arial" w:cs="Arial"/>
          <w:sz w:val="18"/>
          <w:szCs w:val="18"/>
        </w:rPr>
        <w:t xml:space="preserve"> service comprised of an aggregation UNI or NNI at one site connecting multiple UNIs</w:t>
      </w:r>
      <w:r w:rsidR="00B7268A" w:rsidRPr="00001F62">
        <w:rPr>
          <w:rFonts w:ascii="Arial" w:hAnsi="Arial" w:cs="Arial"/>
          <w:i/>
          <w:sz w:val="18"/>
          <w:szCs w:val="18"/>
        </w:rPr>
        <w:t xml:space="preserve"> </w:t>
      </w:r>
      <w:r w:rsidR="00B7268A" w:rsidRPr="00001F62">
        <w:rPr>
          <w:rFonts w:ascii="Arial" w:hAnsi="Arial" w:cs="Arial"/>
          <w:sz w:val="18"/>
          <w:szCs w:val="18"/>
        </w:rPr>
        <w:t>which serves</w:t>
      </w:r>
      <w:r w:rsidR="00CF1176" w:rsidRPr="00001F62">
        <w:rPr>
          <w:rFonts w:ascii="Arial" w:hAnsi="Arial" w:cs="Arial"/>
          <w:sz w:val="18"/>
          <w:szCs w:val="18"/>
        </w:rPr>
        <w:t xml:space="preserve"> to aggregate multiple C</w:t>
      </w:r>
      <w:r w:rsidRPr="00001F62">
        <w:rPr>
          <w:rFonts w:ascii="Arial" w:hAnsi="Arial" w:cs="Arial"/>
          <w:sz w:val="18"/>
          <w:szCs w:val="18"/>
        </w:rPr>
        <w:t>ustomer locations to a central hub location</w:t>
      </w:r>
      <w:r w:rsidR="00B7268A" w:rsidRPr="00001F62">
        <w:rPr>
          <w:rFonts w:ascii="Arial" w:hAnsi="Arial" w:cs="Arial"/>
          <w:sz w:val="18"/>
          <w:szCs w:val="18"/>
        </w:rPr>
        <w:t xml:space="preserve"> in a point to multipoint configuration.</w:t>
      </w:r>
    </w:p>
    <w:p w14:paraId="5CF2EB1D" w14:textId="06A5BE78" w:rsidR="0058330D" w:rsidRPr="0058330D" w:rsidRDefault="001874D9" w:rsidP="0058330D">
      <w:pPr>
        <w:pStyle w:val="ListParagraph"/>
        <w:numPr>
          <w:ilvl w:val="2"/>
          <w:numId w:val="3"/>
        </w:numPr>
        <w:tabs>
          <w:tab w:val="num" w:pos="1710"/>
        </w:tabs>
        <w:spacing w:before="240"/>
        <w:jc w:val="both"/>
        <w:rPr>
          <w:rFonts w:ascii="Arial" w:hAnsi="Arial" w:cs="Arial"/>
          <w:sz w:val="18"/>
          <w:szCs w:val="18"/>
        </w:rPr>
      </w:pPr>
      <w:r w:rsidRPr="00001F62">
        <w:rPr>
          <w:rFonts w:ascii="Arial" w:hAnsi="Arial" w:cs="Arial"/>
          <w:b/>
          <w:sz w:val="18"/>
          <w:szCs w:val="18"/>
        </w:rPr>
        <w:t>E</w:t>
      </w:r>
      <w:r w:rsidRPr="009F0237">
        <w:rPr>
          <w:rFonts w:ascii="Arial" w:hAnsi="Arial" w:cs="Arial"/>
          <w:b/>
          <w:sz w:val="18"/>
          <w:szCs w:val="18"/>
        </w:rPr>
        <w:t>-LAN:</w:t>
      </w:r>
      <w:r w:rsidRPr="009F0237">
        <w:rPr>
          <w:rFonts w:ascii="Arial" w:hAnsi="Arial" w:cs="Arial"/>
          <w:sz w:val="18"/>
          <w:szCs w:val="18"/>
        </w:rPr>
        <w:t xml:space="preserve">  </w:t>
      </w:r>
      <w:r w:rsidR="00B7268A" w:rsidRPr="009F0237">
        <w:rPr>
          <w:rFonts w:ascii="Arial" w:hAnsi="Arial" w:cs="Arial"/>
          <w:sz w:val="18"/>
          <w:szCs w:val="18"/>
        </w:rPr>
        <w:t xml:space="preserve">a meshed </w:t>
      </w:r>
      <w:r w:rsidR="00D433C6" w:rsidRPr="009F0237">
        <w:rPr>
          <w:rFonts w:ascii="Arial" w:hAnsi="Arial" w:cs="Arial"/>
          <w:sz w:val="18"/>
          <w:szCs w:val="18"/>
        </w:rPr>
        <w:t>M</w:t>
      </w:r>
      <w:r w:rsidR="00EC6DFF" w:rsidRPr="009F0237">
        <w:rPr>
          <w:rFonts w:ascii="Arial" w:hAnsi="Arial" w:cs="Arial"/>
          <w:sz w:val="18"/>
          <w:szCs w:val="18"/>
        </w:rPr>
        <w:t xml:space="preserve">etro or </w:t>
      </w:r>
      <w:r w:rsidR="00D433C6" w:rsidRPr="009F0237">
        <w:rPr>
          <w:rFonts w:ascii="Arial" w:hAnsi="Arial" w:cs="Arial"/>
          <w:sz w:val="18"/>
          <w:szCs w:val="18"/>
        </w:rPr>
        <w:t>I</w:t>
      </w:r>
      <w:r w:rsidR="00EC6DFF" w:rsidRPr="009F0237">
        <w:rPr>
          <w:rFonts w:ascii="Arial" w:hAnsi="Arial" w:cs="Arial"/>
          <w:sz w:val="18"/>
          <w:szCs w:val="18"/>
        </w:rPr>
        <w:t xml:space="preserve">ntercity </w:t>
      </w:r>
      <w:r w:rsidR="00B7268A" w:rsidRPr="009F0237">
        <w:rPr>
          <w:rFonts w:ascii="Arial" w:hAnsi="Arial" w:cs="Arial"/>
          <w:sz w:val="18"/>
          <w:szCs w:val="18"/>
        </w:rPr>
        <w:t xml:space="preserve">service comprised of a UNI at each of </w:t>
      </w:r>
      <w:r w:rsidR="002A7C49">
        <w:rPr>
          <w:rFonts w:ascii="Arial" w:hAnsi="Arial" w:cs="Arial"/>
          <w:sz w:val="18"/>
          <w:szCs w:val="18"/>
        </w:rPr>
        <w:t>two</w:t>
      </w:r>
      <w:r w:rsidR="002A7C49" w:rsidRPr="009F0237">
        <w:rPr>
          <w:rFonts w:ascii="Arial" w:hAnsi="Arial" w:cs="Arial"/>
          <w:sz w:val="18"/>
          <w:szCs w:val="18"/>
        </w:rPr>
        <w:t xml:space="preserve"> </w:t>
      </w:r>
      <w:r w:rsidR="00B94FCF" w:rsidRPr="009F0237">
        <w:rPr>
          <w:rFonts w:ascii="Arial" w:hAnsi="Arial" w:cs="Arial"/>
          <w:sz w:val="18"/>
          <w:szCs w:val="18"/>
        </w:rPr>
        <w:t>or</w:t>
      </w:r>
      <w:r w:rsidR="00B7268A" w:rsidRPr="009F0237">
        <w:rPr>
          <w:rFonts w:ascii="Arial" w:hAnsi="Arial" w:cs="Arial"/>
          <w:sz w:val="18"/>
          <w:szCs w:val="18"/>
        </w:rPr>
        <w:t xml:space="preserve"> more Customer sites providing </w:t>
      </w:r>
      <w:r w:rsidRPr="009F0237">
        <w:rPr>
          <w:rFonts w:ascii="Arial" w:hAnsi="Arial" w:cs="Arial"/>
          <w:sz w:val="18"/>
          <w:szCs w:val="18"/>
        </w:rPr>
        <w:t xml:space="preserve">multipoint-to-multipoint Ethernet transport </w:t>
      </w:r>
      <w:r w:rsidR="00AD3EE5" w:rsidRPr="009F0237">
        <w:rPr>
          <w:rFonts w:ascii="Arial" w:hAnsi="Arial" w:cs="Arial"/>
          <w:sz w:val="18"/>
          <w:szCs w:val="18"/>
        </w:rPr>
        <w:t xml:space="preserve">between </w:t>
      </w:r>
      <w:r w:rsidR="002A7C49">
        <w:rPr>
          <w:rFonts w:ascii="Arial" w:hAnsi="Arial" w:cs="Arial"/>
          <w:sz w:val="18"/>
          <w:szCs w:val="18"/>
        </w:rPr>
        <w:t>two</w:t>
      </w:r>
      <w:r w:rsidR="002A7C49" w:rsidRPr="009F0237">
        <w:rPr>
          <w:rFonts w:ascii="Arial" w:hAnsi="Arial" w:cs="Arial"/>
          <w:sz w:val="18"/>
          <w:szCs w:val="18"/>
        </w:rPr>
        <w:t xml:space="preserve"> </w:t>
      </w:r>
      <w:r w:rsidR="00AD3EE5" w:rsidRPr="009F0237">
        <w:rPr>
          <w:rFonts w:ascii="Arial" w:hAnsi="Arial" w:cs="Arial"/>
          <w:sz w:val="18"/>
          <w:szCs w:val="18"/>
        </w:rPr>
        <w:t>or more Customer l</w:t>
      </w:r>
      <w:r w:rsidRPr="009F0237">
        <w:rPr>
          <w:rFonts w:ascii="Arial" w:hAnsi="Arial" w:cs="Arial"/>
          <w:sz w:val="18"/>
          <w:szCs w:val="18"/>
        </w:rPr>
        <w:t>ocations</w:t>
      </w:r>
      <w:r w:rsidR="002A7C49">
        <w:rPr>
          <w:rFonts w:ascii="Arial" w:hAnsi="Arial" w:cs="Arial"/>
          <w:sz w:val="18"/>
          <w:szCs w:val="18"/>
        </w:rPr>
        <w:t xml:space="preserve"> with a multipoint EVC</w:t>
      </w:r>
      <w:r w:rsidRPr="009F0237">
        <w:rPr>
          <w:rFonts w:ascii="Arial" w:hAnsi="Arial" w:cs="Arial"/>
          <w:sz w:val="18"/>
          <w:szCs w:val="18"/>
        </w:rPr>
        <w:t xml:space="preserve">.  </w:t>
      </w:r>
    </w:p>
    <w:p w14:paraId="2613D522" w14:textId="2C1AACFF" w:rsidR="002C7161" w:rsidRPr="00001F62" w:rsidRDefault="007A1D07" w:rsidP="007350B7">
      <w:pPr>
        <w:pStyle w:val="BodyTextIndent2"/>
        <w:numPr>
          <w:ilvl w:val="1"/>
          <w:numId w:val="3"/>
        </w:numPr>
        <w:tabs>
          <w:tab w:val="clear" w:pos="1080"/>
          <w:tab w:val="left" w:pos="6300"/>
        </w:tabs>
        <w:ind w:left="990" w:hanging="45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2C7161" w:rsidRPr="00001F62">
        <w:rPr>
          <w:rFonts w:ascii="Arial" w:hAnsi="Arial" w:cs="Arial"/>
          <w:b/>
          <w:sz w:val="18"/>
          <w:szCs w:val="18"/>
        </w:rPr>
        <w:t>Features</w:t>
      </w:r>
      <w:r w:rsidR="002C7161" w:rsidRPr="00001F62">
        <w:rPr>
          <w:rFonts w:ascii="Arial" w:hAnsi="Arial" w:cs="Arial"/>
          <w:sz w:val="18"/>
          <w:szCs w:val="18"/>
        </w:rPr>
        <w:t>:</w:t>
      </w:r>
    </w:p>
    <w:p w14:paraId="61E446E7" w14:textId="4626E23E" w:rsidR="00EC6DFF" w:rsidRDefault="002A7C49" w:rsidP="00EC6DFF">
      <w:pPr>
        <w:pStyle w:val="BodyTextIndent2"/>
        <w:numPr>
          <w:ilvl w:val="2"/>
          <w:numId w:val="3"/>
        </w:numPr>
        <w:rPr>
          <w:rFonts w:ascii="Arial" w:hAnsi="Arial" w:cs="Arial"/>
          <w:sz w:val="18"/>
          <w:szCs w:val="18"/>
        </w:rPr>
      </w:pPr>
      <w:r>
        <w:rPr>
          <w:rFonts w:ascii="Arial" w:hAnsi="Arial" w:cs="Arial"/>
          <w:b/>
          <w:sz w:val="18"/>
          <w:szCs w:val="18"/>
        </w:rPr>
        <w:t>Class of Service</w:t>
      </w:r>
      <w:r w:rsidR="0089412F">
        <w:rPr>
          <w:rFonts w:ascii="Arial" w:hAnsi="Arial" w:cs="Arial"/>
          <w:b/>
          <w:sz w:val="18"/>
          <w:szCs w:val="18"/>
        </w:rPr>
        <w:t xml:space="preserve"> (“</w:t>
      </w:r>
      <w:r>
        <w:rPr>
          <w:rFonts w:ascii="Arial" w:hAnsi="Arial" w:cs="Arial"/>
          <w:b/>
          <w:sz w:val="18"/>
          <w:szCs w:val="18"/>
        </w:rPr>
        <w:t>CoS</w:t>
      </w:r>
      <w:r w:rsidR="0089412F">
        <w:rPr>
          <w:rFonts w:ascii="Arial" w:hAnsi="Arial" w:cs="Arial"/>
          <w:b/>
          <w:sz w:val="18"/>
          <w:szCs w:val="18"/>
        </w:rPr>
        <w:t>”)</w:t>
      </w:r>
      <w:r w:rsidR="002C7161" w:rsidRPr="00001F62">
        <w:rPr>
          <w:rFonts w:ascii="Arial" w:hAnsi="Arial" w:cs="Arial"/>
          <w:sz w:val="18"/>
          <w:szCs w:val="18"/>
        </w:rPr>
        <w:t xml:space="preserve">:  </w:t>
      </w:r>
      <w:r>
        <w:rPr>
          <w:rFonts w:ascii="Arial" w:hAnsi="Arial" w:cs="Arial"/>
          <w:sz w:val="18"/>
          <w:szCs w:val="18"/>
        </w:rPr>
        <w:t>CoS</w:t>
      </w:r>
      <w:r w:rsidRPr="00001F62">
        <w:rPr>
          <w:rFonts w:ascii="Arial" w:hAnsi="Arial" w:cs="Arial"/>
          <w:sz w:val="18"/>
          <w:szCs w:val="18"/>
        </w:rPr>
        <w:t xml:space="preserve"> </w:t>
      </w:r>
      <w:r w:rsidR="00B7268A" w:rsidRPr="00001F62">
        <w:rPr>
          <w:rFonts w:ascii="Arial" w:hAnsi="Arial" w:cs="Arial"/>
          <w:sz w:val="18"/>
          <w:szCs w:val="18"/>
        </w:rPr>
        <w:t>enables Customer to prioritize traffic from multiple applications that may compete for the same network</w:t>
      </w:r>
      <w:r w:rsidR="00C77FA2">
        <w:rPr>
          <w:rFonts w:ascii="Arial" w:hAnsi="Arial" w:cs="Arial"/>
          <w:sz w:val="18"/>
          <w:szCs w:val="18"/>
        </w:rPr>
        <w:t xml:space="preserve"> resources within the Ethernet S</w:t>
      </w:r>
      <w:r w:rsidR="00B7268A" w:rsidRPr="00001F62">
        <w:rPr>
          <w:rFonts w:ascii="Arial" w:hAnsi="Arial" w:cs="Arial"/>
          <w:sz w:val="18"/>
          <w:szCs w:val="18"/>
        </w:rPr>
        <w:t xml:space="preserve">ervice on the </w:t>
      </w:r>
      <w:r w:rsidR="00FF1529">
        <w:rPr>
          <w:rFonts w:ascii="Arial" w:hAnsi="Arial" w:cs="Arial"/>
          <w:sz w:val="18"/>
          <w:szCs w:val="18"/>
        </w:rPr>
        <w:t>Allstream</w:t>
      </w:r>
      <w:r w:rsidR="00B7268A" w:rsidRPr="00001F62">
        <w:rPr>
          <w:rFonts w:ascii="Arial" w:hAnsi="Arial" w:cs="Arial"/>
          <w:sz w:val="18"/>
          <w:szCs w:val="18"/>
        </w:rPr>
        <w:t xml:space="preserve"> network.  By assigning </w:t>
      </w:r>
      <w:r w:rsidR="00150561" w:rsidRPr="00001F62">
        <w:rPr>
          <w:rFonts w:ascii="Arial" w:hAnsi="Arial" w:cs="Arial"/>
          <w:sz w:val="18"/>
          <w:szCs w:val="18"/>
        </w:rPr>
        <w:t>pre-determined</w:t>
      </w:r>
      <w:r w:rsidR="00B7268A" w:rsidRPr="00001F62">
        <w:rPr>
          <w:rFonts w:ascii="Arial" w:hAnsi="Arial" w:cs="Arial"/>
          <w:sz w:val="18"/>
          <w:szCs w:val="18"/>
        </w:rPr>
        <w:t xml:space="preserve"> levels of network priority to bandwidth</w:t>
      </w:r>
      <w:r w:rsidR="006A19C8">
        <w:rPr>
          <w:rFonts w:ascii="Arial" w:hAnsi="Arial" w:cs="Arial"/>
          <w:sz w:val="18"/>
          <w:szCs w:val="18"/>
        </w:rPr>
        <w:t xml:space="preserve"> based on a QoS template</w:t>
      </w:r>
      <w:r w:rsidR="00B7268A" w:rsidRPr="00001F62">
        <w:rPr>
          <w:rFonts w:ascii="Arial" w:hAnsi="Arial" w:cs="Arial"/>
          <w:sz w:val="18"/>
          <w:szCs w:val="18"/>
        </w:rPr>
        <w:t xml:space="preserve">, Customer can achieve a more predictable traffic flow across the </w:t>
      </w:r>
      <w:r w:rsidR="00FF1529">
        <w:rPr>
          <w:rFonts w:ascii="Arial" w:hAnsi="Arial" w:cs="Arial"/>
          <w:sz w:val="18"/>
          <w:szCs w:val="18"/>
        </w:rPr>
        <w:t>Allstream</w:t>
      </w:r>
      <w:r w:rsidR="00B7268A" w:rsidRPr="00001F62">
        <w:rPr>
          <w:rFonts w:ascii="Arial" w:hAnsi="Arial" w:cs="Arial"/>
          <w:sz w:val="18"/>
          <w:szCs w:val="18"/>
        </w:rPr>
        <w:t xml:space="preserve"> network.  </w:t>
      </w:r>
      <w:r w:rsidR="00EC6DFF">
        <w:rPr>
          <w:rFonts w:ascii="Arial" w:hAnsi="Arial" w:cs="Arial"/>
          <w:sz w:val="18"/>
          <w:szCs w:val="18"/>
        </w:rPr>
        <w:t xml:space="preserve">A </w:t>
      </w:r>
      <w:r>
        <w:rPr>
          <w:rFonts w:ascii="Arial" w:hAnsi="Arial" w:cs="Arial"/>
          <w:sz w:val="18"/>
          <w:szCs w:val="18"/>
        </w:rPr>
        <w:t xml:space="preserve">CoS </w:t>
      </w:r>
      <w:r w:rsidR="00EC6DFF">
        <w:rPr>
          <w:rFonts w:ascii="Arial" w:hAnsi="Arial" w:cs="Arial"/>
          <w:sz w:val="18"/>
          <w:szCs w:val="18"/>
        </w:rPr>
        <w:t xml:space="preserve">option is available for Metro or Intercity </w:t>
      </w:r>
      <w:r w:rsidR="00EF6975">
        <w:rPr>
          <w:rFonts w:ascii="Arial" w:hAnsi="Arial" w:cs="Arial"/>
          <w:sz w:val="18"/>
          <w:szCs w:val="18"/>
        </w:rPr>
        <w:t>Ethernet Service</w:t>
      </w:r>
      <w:r w:rsidR="00EC6DFF">
        <w:rPr>
          <w:rFonts w:ascii="Arial" w:hAnsi="Arial" w:cs="Arial"/>
          <w:sz w:val="18"/>
          <w:szCs w:val="18"/>
        </w:rPr>
        <w:t xml:space="preserve">.  </w:t>
      </w:r>
    </w:p>
    <w:p w14:paraId="4788159E" w14:textId="77777777" w:rsidR="006A19C8" w:rsidRPr="006F75CC" w:rsidRDefault="006A19C8" w:rsidP="006A19C8">
      <w:pPr>
        <w:tabs>
          <w:tab w:val="num" w:pos="1944"/>
        </w:tabs>
        <w:spacing w:before="240"/>
        <w:ind w:left="1944"/>
        <w:jc w:val="both"/>
        <w:rPr>
          <w:rFonts w:ascii="Arial" w:hAnsi="Arial" w:cs="Arial"/>
          <w:sz w:val="18"/>
          <w:szCs w:val="18"/>
          <w:u w:val="single"/>
        </w:rPr>
      </w:pPr>
      <w:r w:rsidRPr="006F75CC">
        <w:rPr>
          <w:rFonts w:ascii="Arial" w:hAnsi="Arial" w:cs="Arial"/>
          <w:sz w:val="18"/>
          <w:szCs w:val="18"/>
          <w:u w:val="single"/>
        </w:rPr>
        <w:t>QoS Templates</w:t>
      </w:r>
    </w:p>
    <w:tbl>
      <w:tblPr>
        <w:tblW w:w="0" w:type="auto"/>
        <w:tblInd w:w="18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0"/>
        <w:gridCol w:w="1890"/>
        <w:gridCol w:w="1980"/>
        <w:gridCol w:w="2117"/>
        <w:gridCol w:w="1878"/>
      </w:tblGrid>
      <w:tr w:rsidR="006A19C8" w:rsidRPr="00E5015E" w14:paraId="3342E5A6" w14:textId="77777777" w:rsidTr="006A19C8">
        <w:trPr>
          <w:trHeight w:hRule="exact" w:val="709"/>
        </w:trPr>
        <w:tc>
          <w:tcPr>
            <w:tcW w:w="9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4AB226ED" w14:textId="77777777" w:rsidR="006A19C8" w:rsidRPr="00E5015E" w:rsidRDefault="006A19C8" w:rsidP="0074605B">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8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301C80BF" w14:textId="09CD21DB"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(EF/CoS 5)</w:t>
            </w:r>
          </w:p>
        </w:tc>
        <w:tc>
          <w:tcPr>
            <w:tcW w:w="198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272D270" w14:textId="4F42671A"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(CS1/CoS 4)</w:t>
            </w:r>
          </w:p>
        </w:tc>
        <w:tc>
          <w:tcPr>
            <w:tcW w:w="2117"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2D7D4233" w14:textId="50DF8C3D"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(CS2/CoS 1)</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66E9D2A5" w14:textId="09CB6834"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(BE/CoS 0)</w:t>
            </w:r>
          </w:p>
        </w:tc>
      </w:tr>
      <w:tr w:rsidR="006A19C8" w:rsidRPr="00E5015E" w14:paraId="15F8011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70E5C0"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2AC56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E4B5C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1F2CB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03985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6A19C8" w:rsidRPr="00E5015E" w14:paraId="450C20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4DE39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21A9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E8D7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0572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15167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5F6889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4D6E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251E2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02AD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7D5B0B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E9087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162811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E3985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575ED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DE9B9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04249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FC467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6A19C8" w:rsidRPr="00E5015E" w14:paraId="77A9A62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A21420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EF11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836C4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ED5F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C402B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6A19C8" w:rsidRPr="00E5015E" w14:paraId="2F329D70"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575D43"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A1B75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047D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5ABD1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16291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6A19C8" w:rsidRPr="00E5015E" w14:paraId="2AED458A"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CE9B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3E66B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F871B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2F92D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21D4C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78A2DFC1"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91982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86BB8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5F0A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7E2E1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BB89D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006A3FB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6EDE3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5065A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58D14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612BD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DBC6E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642833D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1A56E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856B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7E16C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3C9CF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5F32A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CEBCDE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58EDB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A5151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B2724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BB48F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EA7DE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r>
    </w:tbl>
    <w:p w14:paraId="4EE0AE86" w14:textId="77777777" w:rsidR="006A19C8" w:rsidRDefault="006A19C8" w:rsidP="006A19C8">
      <w:pPr>
        <w:pStyle w:val="BodyTextIndent2"/>
        <w:ind w:left="1440" w:firstLine="0"/>
        <w:rPr>
          <w:rFonts w:ascii="Arial" w:hAnsi="Arial" w:cs="Arial"/>
          <w:sz w:val="18"/>
          <w:szCs w:val="18"/>
        </w:rPr>
      </w:pPr>
    </w:p>
    <w:p w14:paraId="254216B4" w14:textId="19B2BA45" w:rsidR="006A19C8" w:rsidRDefault="006A19C8" w:rsidP="006A19C8">
      <w:pPr>
        <w:pStyle w:val="BodyTextIndent2"/>
        <w:numPr>
          <w:ilvl w:val="2"/>
          <w:numId w:val="3"/>
        </w:numPr>
        <w:rPr>
          <w:rFonts w:ascii="Arial" w:hAnsi="Arial" w:cs="Arial"/>
          <w:sz w:val="18"/>
          <w:szCs w:val="18"/>
        </w:rPr>
      </w:pPr>
      <w:r>
        <w:rPr>
          <w:rFonts w:ascii="Arial" w:hAnsi="Arial" w:cs="Arial"/>
          <w:b/>
          <w:sz w:val="18"/>
          <w:szCs w:val="18"/>
        </w:rPr>
        <w:t>Proactive Notification</w:t>
      </w:r>
      <w:r w:rsidRPr="00001F62">
        <w:rPr>
          <w:rFonts w:ascii="Arial" w:hAnsi="Arial" w:cs="Arial"/>
          <w:sz w:val="18"/>
          <w:szCs w:val="18"/>
        </w:rPr>
        <w:t xml:space="preserve">:  </w:t>
      </w:r>
      <w:r>
        <w:rPr>
          <w:rFonts w:ascii="Arial" w:hAnsi="Arial" w:cs="Arial"/>
          <w:sz w:val="18"/>
          <w:szCs w:val="18"/>
        </w:rPr>
        <w:t xml:space="preserve">As an optional service, Allstream will monitor the VPLS service 24 hours a day, 7 days a week.  If Allstream detects a Service Outage, Allstream will notify the customer and open a trouble ticket (TT).  Once notified, the customer may request that </w:t>
      </w:r>
      <w:r w:rsidR="00772B50">
        <w:rPr>
          <w:rFonts w:ascii="Arial" w:hAnsi="Arial" w:cs="Arial"/>
          <w:sz w:val="18"/>
          <w:szCs w:val="18"/>
        </w:rPr>
        <w:t>Allstream</w:t>
      </w:r>
      <w:r>
        <w:rPr>
          <w:rFonts w:ascii="Arial" w:hAnsi="Arial" w:cs="Arial"/>
          <w:sz w:val="18"/>
          <w:szCs w:val="18"/>
        </w:rPr>
        <w:t xml:space="preserve"> open a trouble ticket for the service outage.  As an additional feature and charge, Allstream will automatically assign a technician to begin troubleshooting the service outage. If Allstream determines that the customer is at fault for the service outage, Allstream reserves the right to charge for repairing the service.   </w:t>
      </w:r>
    </w:p>
    <w:p w14:paraId="4A4D1992" w14:textId="09C3CB30" w:rsidR="00BF6770" w:rsidRPr="00BF6770" w:rsidRDefault="00BF6770" w:rsidP="00BF6770">
      <w:pPr>
        <w:pStyle w:val="ListParagraph"/>
        <w:numPr>
          <w:ilvl w:val="2"/>
          <w:numId w:val="3"/>
        </w:numPr>
        <w:rPr>
          <w:rFonts w:ascii="Arial" w:eastAsia="Times New Roman" w:hAnsi="Arial" w:cs="Arial"/>
          <w:sz w:val="18"/>
          <w:szCs w:val="18"/>
        </w:rPr>
      </w:pPr>
      <w:r w:rsidRPr="00BF6770">
        <w:rPr>
          <w:rFonts w:ascii="Arial" w:eastAsia="Times New Roman" w:hAnsi="Arial" w:cs="Arial"/>
          <w:b/>
          <w:sz w:val="18"/>
          <w:szCs w:val="18"/>
        </w:rPr>
        <w:lastRenderedPageBreak/>
        <w:t>Utilization and Performance Reporting</w:t>
      </w:r>
      <w:r w:rsidRPr="00BF6770">
        <w:rPr>
          <w:rFonts w:ascii="Arial" w:eastAsia="Times New Roman" w:hAnsi="Arial" w:cs="Arial"/>
          <w:sz w:val="18"/>
          <w:szCs w:val="18"/>
        </w:rPr>
        <w:t xml:space="preserve">: </w:t>
      </w:r>
      <w:r w:rsidRPr="006F75CC">
        <w:rPr>
          <w:rFonts w:ascii="Arial" w:hAnsi="Arial" w:cs="Arial"/>
          <w:sz w:val="18"/>
          <w:szCs w:val="18"/>
        </w:rPr>
        <w:t xml:space="preserve">Customer may request visibility to service usage </w:t>
      </w:r>
      <w:r>
        <w:rPr>
          <w:rFonts w:ascii="Arial" w:hAnsi="Arial" w:cs="Arial"/>
          <w:sz w:val="18"/>
          <w:szCs w:val="18"/>
        </w:rPr>
        <w:t xml:space="preserve">and performance </w:t>
      </w:r>
      <w:r w:rsidRPr="006F75CC">
        <w:rPr>
          <w:rFonts w:ascii="Arial" w:hAnsi="Arial" w:cs="Arial"/>
          <w:sz w:val="18"/>
          <w:szCs w:val="18"/>
        </w:rPr>
        <w:t xml:space="preserve">statistics from an Allstream on-line portal for an additional charge.  Utilization </w:t>
      </w:r>
      <w:r>
        <w:rPr>
          <w:rFonts w:ascii="Arial" w:hAnsi="Arial" w:cs="Arial"/>
          <w:sz w:val="18"/>
          <w:szCs w:val="18"/>
        </w:rPr>
        <w:t xml:space="preserve">and performance </w:t>
      </w:r>
      <w:r w:rsidRPr="006F75CC">
        <w:rPr>
          <w:rFonts w:ascii="Arial" w:hAnsi="Arial" w:cs="Arial"/>
          <w:sz w:val="18"/>
          <w:szCs w:val="18"/>
        </w:rPr>
        <w:t xml:space="preserve">statistics will show overall historical bandwidth usage </w:t>
      </w:r>
      <w:r>
        <w:rPr>
          <w:rFonts w:ascii="Arial" w:hAnsi="Arial" w:cs="Arial"/>
          <w:sz w:val="18"/>
          <w:szCs w:val="18"/>
        </w:rPr>
        <w:t xml:space="preserve">and performance </w:t>
      </w:r>
      <w:r w:rsidRPr="006F75CC">
        <w:rPr>
          <w:rFonts w:ascii="Arial" w:hAnsi="Arial" w:cs="Arial"/>
          <w:sz w:val="18"/>
          <w:szCs w:val="18"/>
        </w:rPr>
        <w:t xml:space="preserve">for a determined period of time for each of the customer’s locations of the </w:t>
      </w:r>
      <w:r>
        <w:rPr>
          <w:rFonts w:ascii="Arial" w:hAnsi="Arial" w:cs="Arial"/>
          <w:sz w:val="18"/>
          <w:szCs w:val="18"/>
        </w:rPr>
        <w:t>VPLS</w:t>
      </w:r>
      <w:r w:rsidRPr="006F75CC">
        <w:rPr>
          <w:rFonts w:ascii="Arial" w:hAnsi="Arial" w:cs="Arial"/>
          <w:sz w:val="18"/>
          <w:szCs w:val="18"/>
        </w:rPr>
        <w:t xml:space="preserve"> network.</w:t>
      </w:r>
    </w:p>
    <w:p w14:paraId="745BBD36" w14:textId="77777777" w:rsidR="006A19C8" w:rsidRDefault="006A19C8" w:rsidP="00EC6DFF">
      <w:pPr>
        <w:pStyle w:val="BodyTextIndent2"/>
        <w:numPr>
          <w:ilvl w:val="2"/>
          <w:numId w:val="3"/>
        </w:numPr>
        <w:rPr>
          <w:rFonts w:ascii="Arial" w:hAnsi="Arial" w:cs="Arial"/>
          <w:sz w:val="18"/>
          <w:szCs w:val="18"/>
        </w:rPr>
      </w:pPr>
    </w:p>
    <w:p w14:paraId="7FE93512" w14:textId="38D7773B" w:rsidR="009A2267" w:rsidRDefault="009A2267" w:rsidP="001B1F10">
      <w:pPr>
        <w:pStyle w:val="BodyTextIndent2"/>
        <w:tabs>
          <w:tab w:val="left" w:pos="6300"/>
        </w:tabs>
        <w:spacing w:after="0"/>
        <w:ind w:firstLine="0"/>
        <w:rPr>
          <w:rFonts w:ascii="Arial" w:hAnsi="Arial" w:cs="Arial"/>
          <w:b/>
          <w:sz w:val="18"/>
          <w:szCs w:val="18"/>
        </w:rPr>
      </w:pPr>
      <w:bookmarkStart w:id="5"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6F4E9EE8" w14:textId="77777777" w:rsidR="00D85AB2" w:rsidRDefault="00E42245" w:rsidP="00D85AB2">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5EE15295" w14:textId="2FD3E6EB" w:rsidR="00D85AB2" w:rsidRPr="00D85AB2" w:rsidRDefault="00D85AB2" w:rsidP="00D85AB2">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D85AB2">
        <w:rPr>
          <w:rFonts w:ascii="Arial" w:hAnsi="Arial" w:cs="Arial"/>
          <w:b/>
          <w:bCs/>
          <w:sz w:val="18"/>
          <w:szCs w:val="18"/>
        </w:rPr>
        <w:t>Customer Equipment and Inside Wiring.</w:t>
      </w:r>
      <w:r w:rsidRPr="00D85AB2">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 xml:space="preserve">If the Service Activation Date is delayed as a result of Customer’s failure to </w:t>
      </w:r>
      <w:r w:rsidR="00251C17" w:rsidRPr="006D00B7">
        <w:rPr>
          <w:rFonts w:ascii="Arial" w:hAnsi="Arial" w:cs="Arial"/>
          <w:sz w:val="18"/>
          <w:szCs w:val="18"/>
        </w:rPr>
        <w:lastRenderedPageBreak/>
        <w:t>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717F0B89" w14:textId="62A71274" w:rsidR="00947067" w:rsidRDefault="00C7794D"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THIRD PARTY SERVICES</w:t>
      </w:r>
      <w:r w:rsidRPr="007350B7">
        <w:rPr>
          <w:rFonts w:ascii="Arial" w:hAnsi="Arial" w:cs="Arial"/>
          <w:bCs/>
          <w:sz w:val="18"/>
          <w:szCs w:val="18"/>
        </w:rPr>
        <w:t xml:space="preserve">.  </w:t>
      </w:r>
      <w:r w:rsidR="007878FC" w:rsidRPr="007350B7">
        <w:rPr>
          <w:rFonts w:ascii="Arial" w:hAnsi="Arial" w:cs="Arial"/>
          <w:bCs/>
          <w:sz w:val="18"/>
          <w:szCs w:val="18"/>
        </w:rPr>
        <w:t>Allstream</w:t>
      </w:r>
      <w:r w:rsidR="006A4F76" w:rsidRPr="007350B7">
        <w:rPr>
          <w:rFonts w:ascii="Arial" w:hAnsi="Arial" w:cs="Arial"/>
          <w:bCs/>
          <w:sz w:val="18"/>
          <w:szCs w:val="18"/>
        </w:rPr>
        <w:t>’s Services may incorporate services provided by a third party (“</w:t>
      </w:r>
      <w:r w:rsidR="006A4F76" w:rsidRPr="007350B7">
        <w:rPr>
          <w:rFonts w:ascii="Arial" w:hAnsi="Arial" w:cs="Arial"/>
          <w:b/>
          <w:bCs/>
          <w:sz w:val="18"/>
          <w:szCs w:val="18"/>
        </w:rPr>
        <w:t>Third Party Provider</w:t>
      </w:r>
      <w:r w:rsidR="006A4F76" w:rsidRPr="007350B7">
        <w:rPr>
          <w:rFonts w:ascii="Arial" w:hAnsi="Arial" w:cs="Arial"/>
          <w:bCs/>
          <w:sz w:val="18"/>
          <w:szCs w:val="18"/>
        </w:rPr>
        <w:t>”), including, but not limited to, interconnect services (collectively “</w:t>
      </w:r>
      <w:r w:rsidR="006A4F76" w:rsidRPr="007350B7">
        <w:rPr>
          <w:rFonts w:ascii="Arial" w:hAnsi="Arial" w:cs="Arial"/>
          <w:b/>
          <w:bCs/>
          <w:sz w:val="18"/>
          <w:szCs w:val="18"/>
        </w:rPr>
        <w:t>Third Party Services</w:t>
      </w:r>
      <w:r w:rsidR="006A4F76" w:rsidRPr="007350B7">
        <w:rPr>
          <w:rFonts w:ascii="Arial" w:hAnsi="Arial" w:cs="Arial"/>
          <w:bCs/>
          <w:sz w:val="18"/>
          <w:szCs w:val="18"/>
        </w:rPr>
        <w:t xml:space="preserve">”).  The costs of Third Party Services will be reflected in the applicable Service Order provided that </w:t>
      </w:r>
      <w:r w:rsidR="007878FC" w:rsidRPr="007350B7">
        <w:rPr>
          <w:rFonts w:ascii="Arial" w:hAnsi="Arial" w:cs="Arial"/>
          <w:bCs/>
          <w:sz w:val="18"/>
          <w:szCs w:val="18"/>
        </w:rPr>
        <w:t>Allstream</w:t>
      </w:r>
      <w:r w:rsidR="006A4F76" w:rsidRPr="007350B7">
        <w:rPr>
          <w:rFonts w:ascii="Arial" w:hAnsi="Arial" w:cs="Arial"/>
          <w:bCs/>
          <w:sz w:val="18"/>
          <w:szCs w:val="18"/>
        </w:rPr>
        <w:t xml:space="preserve"> may adjust the rates for Services that incorporate Third Party Services to reflect, without mark up, any increases in costs imposed on </w:t>
      </w:r>
      <w:r w:rsidR="007878FC" w:rsidRPr="007350B7">
        <w:rPr>
          <w:rFonts w:ascii="Arial" w:hAnsi="Arial" w:cs="Arial"/>
          <w:bCs/>
          <w:sz w:val="18"/>
          <w:szCs w:val="18"/>
        </w:rPr>
        <w:t>Allstream</w:t>
      </w:r>
      <w:r w:rsidR="006A4F76" w:rsidRPr="007350B7">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7350B7">
        <w:rPr>
          <w:rFonts w:ascii="Arial" w:hAnsi="Arial" w:cs="Arial"/>
          <w:bCs/>
          <w:sz w:val="18"/>
          <w:szCs w:val="18"/>
        </w:rPr>
        <w:t>Allstream</w:t>
      </w:r>
      <w:r w:rsidR="006A4F76" w:rsidRPr="007350B7">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7350B7">
        <w:rPr>
          <w:rFonts w:ascii="Arial" w:hAnsi="Arial" w:cs="Arial"/>
          <w:bCs/>
          <w:sz w:val="18"/>
          <w:szCs w:val="18"/>
        </w:rPr>
        <w:t>Allstream</w:t>
      </w:r>
      <w:r w:rsidR="006A4F76" w:rsidRPr="007350B7">
        <w:rPr>
          <w:rFonts w:ascii="Arial" w:hAnsi="Arial" w:cs="Arial"/>
          <w:bCs/>
          <w:sz w:val="18"/>
          <w:szCs w:val="18"/>
        </w:rPr>
        <w:t xml:space="preserve"> for any costs incurred by </w:t>
      </w:r>
      <w:r w:rsidR="007878FC" w:rsidRPr="007350B7">
        <w:rPr>
          <w:rFonts w:ascii="Arial" w:hAnsi="Arial" w:cs="Arial"/>
          <w:bCs/>
          <w:sz w:val="18"/>
          <w:szCs w:val="18"/>
        </w:rPr>
        <w:t>Allstream</w:t>
      </w:r>
      <w:r w:rsidR="006A4F76" w:rsidRPr="007350B7">
        <w:rPr>
          <w:rFonts w:ascii="Arial" w:hAnsi="Arial" w:cs="Arial"/>
          <w:bCs/>
          <w:sz w:val="18"/>
          <w:szCs w:val="18"/>
        </w:rPr>
        <w:t xml:space="preserve"> to terminate such Third Party Services, plus any charges remaining under this Agreement.  </w:t>
      </w:r>
      <w:r w:rsidR="00337408" w:rsidRPr="007350B7">
        <w:rPr>
          <w:rFonts w:ascii="Arial" w:hAnsi="Arial" w:cs="Arial"/>
          <w:sz w:val="18"/>
          <w:szCs w:val="18"/>
          <w:lang w:val="en-CA"/>
        </w:rPr>
        <w:t>Where a disconnect from a Third Party Provider is required, the Customer must produce a Letter of Authorization (“LOA”) or a Custo</w:t>
      </w:r>
      <w:r w:rsidR="006D00B7" w:rsidRPr="007350B7">
        <w:rPr>
          <w:rFonts w:ascii="Arial" w:hAnsi="Arial" w:cs="Arial"/>
          <w:sz w:val="18"/>
          <w:szCs w:val="18"/>
          <w:lang w:val="en-CA"/>
        </w:rPr>
        <w:t>mer Facility Assignment (“CFA”)</w:t>
      </w:r>
      <w:r w:rsidR="00337408" w:rsidRPr="007350B7">
        <w:rPr>
          <w:rFonts w:ascii="Arial" w:hAnsi="Arial" w:cs="Arial"/>
          <w:sz w:val="18"/>
          <w:szCs w:val="18"/>
          <w:lang w:val="en-CA"/>
        </w:rPr>
        <w:t xml:space="preserve"> with disconnect confirmation from the Third Party Provider. </w:t>
      </w:r>
    </w:p>
    <w:p w14:paraId="37A808DA" w14:textId="780BEAD1" w:rsidR="00B8320B" w:rsidRPr="007350B7" w:rsidRDefault="007350B7"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 xml:space="preserve">UNUSUAL EXPENSE.  </w:t>
      </w:r>
      <w:r w:rsidR="00B8320B" w:rsidRPr="007350B7">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Pr>
          <w:rFonts w:ascii="Arial" w:hAnsi="Arial" w:cs="Arial"/>
          <w:bCs/>
          <w:sz w:val="18"/>
          <w:szCs w:val="18"/>
        </w:rPr>
        <w:t xml:space="preserve">n accordance with </w:t>
      </w:r>
      <w:r w:rsidR="00B8320B" w:rsidRPr="007350B7">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656DA4"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bookmarkStart w:id="6" w:name="_GoBack"/>
                <w:r w:rsidR="007350B7">
                  <w:rPr>
                    <w:rStyle w:val="Style1"/>
                    <w:caps/>
                    <w:sz w:val="19"/>
                    <w:szCs w:val="19"/>
                  </w:rPr>
                  <w:t>enter cUSTOMER name here</w:t>
                </w:r>
                <w:bookmarkEnd w:id="6"/>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5"/>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2"/>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8FD4" w14:textId="77777777" w:rsidR="00656DA4" w:rsidRDefault="00656DA4">
      <w:r>
        <w:separator/>
      </w:r>
    </w:p>
  </w:endnote>
  <w:endnote w:type="continuationSeparator" w:id="0">
    <w:p w14:paraId="30F00083" w14:textId="77777777" w:rsidR="00656DA4" w:rsidRDefault="0065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167" w14:textId="72E06540" w:rsidR="00947067" w:rsidRPr="0008427C" w:rsidRDefault="006022DD" w:rsidP="00947067">
    <w:pPr>
      <w:pStyle w:val="Footer"/>
      <w:rPr>
        <w:rFonts w:ascii="Arial" w:hAnsi="Arial" w:cs="Arial"/>
      </w:rPr>
    </w:pPr>
    <w:r>
      <w:rPr>
        <w:rFonts w:ascii="Arial" w:hAnsi="Arial" w:cs="Arial"/>
      </w:rPr>
      <w:t>VPL</w:t>
    </w:r>
    <w:r>
      <w:rPr>
        <w:rFonts w:ascii="Arial" w:hAnsi="Arial" w:cs="Arial"/>
        <w:lang w:val="en-US"/>
      </w:rPr>
      <w:t xml:space="preserve">S </w:t>
    </w:r>
    <w:r w:rsidR="00D1330D">
      <w:rPr>
        <w:rFonts w:ascii="Arial" w:hAnsi="Arial" w:cs="Arial"/>
        <w:lang w:val="en-US"/>
      </w:rPr>
      <w:t xml:space="preserve">Service </w:t>
    </w:r>
    <w:r w:rsidR="00947067" w:rsidRPr="00757B32">
      <w:rPr>
        <w:rFonts w:ascii="Arial" w:hAnsi="Arial" w:cs="Arial"/>
      </w:rPr>
      <w:t xml:space="preserve">Schedule </w:t>
    </w:r>
    <w:r w:rsidR="00947067">
      <w:rPr>
        <w:rFonts w:ascii="Arial" w:hAnsi="Arial" w:cs="Arial"/>
      </w:rPr>
      <w:t>(Ver</w:t>
    </w:r>
    <w:r w:rsidR="00E4571B">
      <w:rPr>
        <w:rFonts w:ascii="Arial" w:hAnsi="Arial" w:cs="Arial"/>
        <w:lang w:val="en-US"/>
      </w:rPr>
      <w:t xml:space="preserve">. </w:t>
    </w:r>
    <w:r w:rsidR="00D85AB2">
      <w:rPr>
        <w:rFonts w:ascii="Arial" w:hAnsi="Arial" w:cs="Arial"/>
        <w:lang w:val="en-US"/>
      </w:rPr>
      <w:t>07-06-20)</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313EA0B2" w:rsidR="00947067" w:rsidRDefault="00656DA4"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D92D80">
              <w:rPr>
                <w:b/>
                <w:bCs/>
                <w:noProof/>
              </w:rPr>
              <w:t>4</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D92D80">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5E49" w14:textId="77777777" w:rsidR="00656DA4" w:rsidRDefault="00656DA4">
      <w:r>
        <w:separator/>
      </w:r>
    </w:p>
  </w:footnote>
  <w:footnote w:type="continuationSeparator" w:id="0">
    <w:p w14:paraId="790AF268" w14:textId="77777777" w:rsidR="00656DA4" w:rsidRDefault="0065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fDjhQ4twloWfYW9zW3Jv8o5p1bGwtIriz4RvmCRY4mWmpAA+YTjq85ZjoRS74jYuekAT2W4BwdlKWlqtoeQEnQ==" w:salt="KCgGZpPmfMDVWwRJoS2C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1E9"/>
    <w:rsid w:val="00001F62"/>
    <w:rsid w:val="000057F3"/>
    <w:rsid w:val="000202AD"/>
    <w:rsid w:val="00020FAA"/>
    <w:rsid w:val="00022720"/>
    <w:rsid w:val="00026FA6"/>
    <w:rsid w:val="00031A40"/>
    <w:rsid w:val="00034853"/>
    <w:rsid w:val="000430FA"/>
    <w:rsid w:val="00046046"/>
    <w:rsid w:val="0005312C"/>
    <w:rsid w:val="000561E2"/>
    <w:rsid w:val="00060D63"/>
    <w:rsid w:val="00065CFA"/>
    <w:rsid w:val="00067C30"/>
    <w:rsid w:val="0007214B"/>
    <w:rsid w:val="000765AD"/>
    <w:rsid w:val="000877CA"/>
    <w:rsid w:val="000954CC"/>
    <w:rsid w:val="000A66A3"/>
    <w:rsid w:val="000C33BF"/>
    <w:rsid w:val="000D3E61"/>
    <w:rsid w:val="000E363D"/>
    <w:rsid w:val="000F26B9"/>
    <w:rsid w:val="000F6906"/>
    <w:rsid w:val="000F7BF2"/>
    <w:rsid w:val="00115512"/>
    <w:rsid w:val="00120834"/>
    <w:rsid w:val="00137D5B"/>
    <w:rsid w:val="00144FA9"/>
    <w:rsid w:val="0015031F"/>
    <w:rsid w:val="00150561"/>
    <w:rsid w:val="0015721C"/>
    <w:rsid w:val="001728AC"/>
    <w:rsid w:val="00175687"/>
    <w:rsid w:val="00176BC6"/>
    <w:rsid w:val="001828CB"/>
    <w:rsid w:val="001874D9"/>
    <w:rsid w:val="00187F64"/>
    <w:rsid w:val="001915DF"/>
    <w:rsid w:val="00196E3B"/>
    <w:rsid w:val="00197C96"/>
    <w:rsid w:val="001B1F10"/>
    <w:rsid w:val="001D1E9F"/>
    <w:rsid w:val="001F5CE9"/>
    <w:rsid w:val="00206A47"/>
    <w:rsid w:val="002139E7"/>
    <w:rsid w:val="002225A1"/>
    <w:rsid w:val="00222C0F"/>
    <w:rsid w:val="00226C7C"/>
    <w:rsid w:val="00226EF1"/>
    <w:rsid w:val="0022723C"/>
    <w:rsid w:val="002329ED"/>
    <w:rsid w:val="0024332E"/>
    <w:rsid w:val="00251C17"/>
    <w:rsid w:val="00263125"/>
    <w:rsid w:val="00263B65"/>
    <w:rsid w:val="0027098C"/>
    <w:rsid w:val="0028353D"/>
    <w:rsid w:val="002860E5"/>
    <w:rsid w:val="002977AC"/>
    <w:rsid w:val="002A03BC"/>
    <w:rsid w:val="002A6E59"/>
    <w:rsid w:val="002A7AB2"/>
    <w:rsid w:val="002A7C49"/>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81910"/>
    <w:rsid w:val="003951F4"/>
    <w:rsid w:val="003C1FFE"/>
    <w:rsid w:val="003C205A"/>
    <w:rsid w:val="003C6FD2"/>
    <w:rsid w:val="003D3205"/>
    <w:rsid w:val="003E5C08"/>
    <w:rsid w:val="003E6698"/>
    <w:rsid w:val="003E792D"/>
    <w:rsid w:val="003F6EAE"/>
    <w:rsid w:val="00401FB0"/>
    <w:rsid w:val="00406416"/>
    <w:rsid w:val="00414C52"/>
    <w:rsid w:val="00415158"/>
    <w:rsid w:val="00427383"/>
    <w:rsid w:val="00430403"/>
    <w:rsid w:val="00430B99"/>
    <w:rsid w:val="00440086"/>
    <w:rsid w:val="00440A4F"/>
    <w:rsid w:val="00446BF8"/>
    <w:rsid w:val="00464EB6"/>
    <w:rsid w:val="00466850"/>
    <w:rsid w:val="00470EF2"/>
    <w:rsid w:val="00483EEF"/>
    <w:rsid w:val="00493693"/>
    <w:rsid w:val="004A1F3A"/>
    <w:rsid w:val="004A3518"/>
    <w:rsid w:val="004A5447"/>
    <w:rsid w:val="004B12EF"/>
    <w:rsid w:val="004B20D4"/>
    <w:rsid w:val="004C34D7"/>
    <w:rsid w:val="004D37D9"/>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45E0"/>
    <w:rsid w:val="00552C11"/>
    <w:rsid w:val="00562506"/>
    <w:rsid w:val="005716F7"/>
    <w:rsid w:val="00575B2F"/>
    <w:rsid w:val="00582C83"/>
    <w:rsid w:val="0058330D"/>
    <w:rsid w:val="0059731A"/>
    <w:rsid w:val="005B6FB7"/>
    <w:rsid w:val="005C5F8F"/>
    <w:rsid w:val="005D0FB1"/>
    <w:rsid w:val="005D4755"/>
    <w:rsid w:val="005E3B5C"/>
    <w:rsid w:val="005F2FF8"/>
    <w:rsid w:val="00601687"/>
    <w:rsid w:val="006022DD"/>
    <w:rsid w:val="00604CF4"/>
    <w:rsid w:val="006106F3"/>
    <w:rsid w:val="0061202F"/>
    <w:rsid w:val="00616257"/>
    <w:rsid w:val="0064544C"/>
    <w:rsid w:val="00651462"/>
    <w:rsid w:val="00656DA4"/>
    <w:rsid w:val="00661AAD"/>
    <w:rsid w:val="00661D52"/>
    <w:rsid w:val="0066321E"/>
    <w:rsid w:val="0067158D"/>
    <w:rsid w:val="00680263"/>
    <w:rsid w:val="00686356"/>
    <w:rsid w:val="006A0A89"/>
    <w:rsid w:val="006A19C8"/>
    <w:rsid w:val="006A4F4B"/>
    <w:rsid w:val="006A4F76"/>
    <w:rsid w:val="006B0AAA"/>
    <w:rsid w:val="006B0B7D"/>
    <w:rsid w:val="006C1D36"/>
    <w:rsid w:val="006C5513"/>
    <w:rsid w:val="006D00B7"/>
    <w:rsid w:val="006D1503"/>
    <w:rsid w:val="006E7EED"/>
    <w:rsid w:val="006F7569"/>
    <w:rsid w:val="007005B1"/>
    <w:rsid w:val="00704D05"/>
    <w:rsid w:val="00711412"/>
    <w:rsid w:val="00730C4E"/>
    <w:rsid w:val="0073373E"/>
    <w:rsid w:val="007350B7"/>
    <w:rsid w:val="00736786"/>
    <w:rsid w:val="00740353"/>
    <w:rsid w:val="0074685C"/>
    <w:rsid w:val="00747E55"/>
    <w:rsid w:val="007603F2"/>
    <w:rsid w:val="00764E53"/>
    <w:rsid w:val="00772B50"/>
    <w:rsid w:val="00783E92"/>
    <w:rsid w:val="007878FC"/>
    <w:rsid w:val="00790E9B"/>
    <w:rsid w:val="00791F6A"/>
    <w:rsid w:val="00793AFB"/>
    <w:rsid w:val="007A1D07"/>
    <w:rsid w:val="007A4000"/>
    <w:rsid w:val="007B4CBA"/>
    <w:rsid w:val="007C50FE"/>
    <w:rsid w:val="007D0FA8"/>
    <w:rsid w:val="007D7624"/>
    <w:rsid w:val="007E2AC7"/>
    <w:rsid w:val="007F2328"/>
    <w:rsid w:val="007F6D24"/>
    <w:rsid w:val="00803475"/>
    <w:rsid w:val="00810526"/>
    <w:rsid w:val="008112F6"/>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5C98"/>
    <w:rsid w:val="009D6D4C"/>
    <w:rsid w:val="009E307A"/>
    <w:rsid w:val="009F0237"/>
    <w:rsid w:val="009F4409"/>
    <w:rsid w:val="00A00D0B"/>
    <w:rsid w:val="00A028CD"/>
    <w:rsid w:val="00A23C82"/>
    <w:rsid w:val="00A30138"/>
    <w:rsid w:val="00A50224"/>
    <w:rsid w:val="00A5064A"/>
    <w:rsid w:val="00A54DC5"/>
    <w:rsid w:val="00A61751"/>
    <w:rsid w:val="00A62AC8"/>
    <w:rsid w:val="00A6308C"/>
    <w:rsid w:val="00A66330"/>
    <w:rsid w:val="00A701F4"/>
    <w:rsid w:val="00A771A6"/>
    <w:rsid w:val="00A83D04"/>
    <w:rsid w:val="00A8483A"/>
    <w:rsid w:val="00A932BB"/>
    <w:rsid w:val="00A97630"/>
    <w:rsid w:val="00AB6405"/>
    <w:rsid w:val="00AC651C"/>
    <w:rsid w:val="00AC6E52"/>
    <w:rsid w:val="00AC750A"/>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116C"/>
    <w:rsid w:val="00B7268A"/>
    <w:rsid w:val="00B75A1F"/>
    <w:rsid w:val="00B7617C"/>
    <w:rsid w:val="00B76A8C"/>
    <w:rsid w:val="00B7767D"/>
    <w:rsid w:val="00B80A23"/>
    <w:rsid w:val="00B8320B"/>
    <w:rsid w:val="00B94FCF"/>
    <w:rsid w:val="00B97872"/>
    <w:rsid w:val="00BB2AC7"/>
    <w:rsid w:val="00BB333B"/>
    <w:rsid w:val="00BC6FBA"/>
    <w:rsid w:val="00BF44C3"/>
    <w:rsid w:val="00BF46B0"/>
    <w:rsid w:val="00BF6770"/>
    <w:rsid w:val="00C05E2A"/>
    <w:rsid w:val="00C16790"/>
    <w:rsid w:val="00C214D7"/>
    <w:rsid w:val="00C32830"/>
    <w:rsid w:val="00C44432"/>
    <w:rsid w:val="00C50286"/>
    <w:rsid w:val="00C51DDD"/>
    <w:rsid w:val="00C66D32"/>
    <w:rsid w:val="00C76E5F"/>
    <w:rsid w:val="00C7794D"/>
    <w:rsid w:val="00C77FA2"/>
    <w:rsid w:val="00C80564"/>
    <w:rsid w:val="00C92E0F"/>
    <w:rsid w:val="00C94409"/>
    <w:rsid w:val="00CA4EE1"/>
    <w:rsid w:val="00CB2059"/>
    <w:rsid w:val="00CB6023"/>
    <w:rsid w:val="00CE3107"/>
    <w:rsid w:val="00CE347B"/>
    <w:rsid w:val="00CF1176"/>
    <w:rsid w:val="00CF1EAE"/>
    <w:rsid w:val="00D1330D"/>
    <w:rsid w:val="00D15251"/>
    <w:rsid w:val="00D23F8B"/>
    <w:rsid w:val="00D30473"/>
    <w:rsid w:val="00D313B3"/>
    <w:rsid w:val="00D433C6"/>
    <w:rsid w:val="00D468D2"/>
    <w:rsid w:val="00D510C9"/>
    <w:rsid w:val="00D575C0"/>
    <w:rsid w:val="00D57DDD"/>
    <w:rsid w:val="00D73422"/>
    <w:rsid w:val="00D81E66"/>
    <w:rsid w:val="00D85AB2"/>
    <w:rsid w:val="00D92D80"/>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2770"/>
    <w:rsid w:val="00E4571B"/>
    <w:rsid w:val="00E6329D"/>
    <w:rsid w:val="00E648D7"/>
    <w:rsid w:val="00E7763C"/>
    <w:rsid w:val="00E85CEF"/>
    <w:rsid w:val="00E92D9D"/>
    <w:rsid w:val="00E93D58"/>
    <w:rsid w:val="00E952B4"/>
    <w:rsid w:val="00EA4287"/>
    <w:rsid w:val="00EB7896"/>
    <w:rsid w:val="00EC4BB2"/>
    <w:rsid w:val="00EC6D11"/>
    <w:rsid w:val="00EC6DFF"/>
    <w:rsid w:val="00ED721A"/>
    <w:rsid w:val="00EF6975"/>
    <w:rsid w:val="00EF69D2"/>
    <w:rsid w:val="00EF76CF"/>
    <w:rsid w:val="00F05EED"/>
    <w:rsid w:val="00F1172F"/>
    <w:rsid w:val="00F2042C"/>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4"/>
    <w:rsid w:val="001A6A0B"/>
    <w:rsid w:val="00223000"/>
    <w:rsid w:val="002407B8"/>
    <w:rsid w:val="00243676"/>
    <w:rsid w:val="00264FAF"/>
    <w:rsid w:val="0035540A"/>
    <w:rsid w:val="00363403"/>
    <w:rsid w:val="004764DF"/>
    <w:rsid w:val="00483929"/>
    <w:rsid w:val="005060DE"/>
    <w:rsid w:val="005460EA"/>
    <w:rsid w:val="0055104F"/>
    <w:rsid w:val="005F02FC"/>
    <w:rsid w:val="006A3461"/>
    <w:rsid w:val="00705177"/>
    <w:rsid w:val="0071220E"/>
    <w:rsid w:val="007B40DF"/>
    <w:rsid w:val="00825BA4"/>
    <w:rsid w:val="00827607"/>
    <w:rsid w:val="00857AF8"/>
    <w:rsid w:val="008650AD"/>
    <w:rsid w:val="00873C5B"/>
    <w:rsid w:val="008B2BE0"/>
    <w:rsid w:val="009066CD"/>
    <w:rsid w:val="009230BB"/>
    <w:rsid w:val="00933884"/>
    <w:rsid w:val="00981B17"/>
    <w:rsid w:val="00985612"/>
    <w:rsid w:val="009876D4"/>
    <w:rsid w:val="00A04923"/>
    <w:rsid w:val="00A3167D"/>
    <w:rsid w:val="00AB4533"/>
    <w:rsid w:val="00AB5994"/>
    <w:rsid w:val="00BC5DA8"/>
    <w:rsid w:val="00BC6C9D"/>
    <w:rsid w:val="00BD1C47"/>
    <w:rsid w:val="00C16EE1"/>
    <w:rsid w:val="00C339C7"/>
    <w:rsid w:val="00C55E12"/>
    <w:rsid w:val="00C70A6D"/>
    <w:rsid w:val="00D84B6C"/>
    <w:rsid w:val="00E26A7B"/>
    <w:rsid w:val="00E34470"/>
    <w:rsid w:val="00F47801"/>
    <w:rsid w:val="00FC3E33"/>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1" ma:contentTypeDescription="Create a new document." ma:contentTypeScope="" ma:versionID="704d1b1e9bfaebeab36a47346c4ba85a">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2833018103a1843c7daabc69c111de5d"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B132C-1725-4A54-87BE-9A9E42AA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4.xml><?xml version="1.0" encoding="utf-8"?>
<ds:datastoreItem xmlns:ds="http://schemas.openxmlformats.org/officeDocument/2006/customXml" ds:itemID="{24E5D301-053C-48FF-8D73-1359FB6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2014-04-14T14:18:00Z</cp:lastPrinted>
  <dcterms:created xsi:type="dcterms:W3CDTF">2020-07-07T14:53:00Z</dcterms:created>
  <dcterms:modified xsi:type="dcterms:W3CDTF">2020-07-07T14:53:00Z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